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C4335" w14:textId="77777777" w:rsidR="003B5672" w:rsidRPr="00781247" w:rsidRDefault="003B5672" w:rsidP="003B5672">
      <w:pPr>
        <w:bidi/>
        <w:rPr>
          <w:rFonts w:asciiTheme="minorBidi" w:hAnsiTheme="minorBidi"/>
        </w:rPr>
      </w:pPr>
      <w:r w:rsidRPr="00781247">
        <w:rPr>
          <w:rFonts w:asciiTheme="minorBidi" w:hAnsiTheme="minorBidi" w:cs="Arial"/>
          <w:rtl/>
        </w:rPr>
        <w:t>بيان صحفي رقم. 35/2024</w:t>
      </w:r>
    </w:p>
    <w:p w14:paraId="244B1069" w14:textId="77777777" w:rsidR="003B5672" w:rsidRPr="003B5672" w:rsidRDefault="003B5672" w:rsidP="003B5672">
      <w:pPr>
        <w:bidi/>
        <w:rPr>
          <w:rFonts w:asciiTheme="minorBidi" w:hAnsiTheme="minorBidi"/>
          <w:b/>
          <w:bCs/>
        </w:rPr>
      </w:pPr>
    </w:p>
    <w:p w14:paraId="0BFC6B86" w14:textId="28EE3AA6" w:rsidR="003B5672" w:rsidRPr="003B5672" w:rsidRDefault="003B5672" w:rsidP="003B5672">
      <w:pPr>
        <w:bidi/>
        <w:rPr>
          <w:rFonts w:asciiTheme="minorBidi" w:hAnsiTheme="minorBidi"/>
          <w:b/>
          <w:bCs/>
          <w:rtl/>
          <w:lang w:bidi="ar-EG"/>
        </w:rPr>
      </w:pPr>
      <w:r w:rsidRPr="003B5672">
        <w:rPr>
          <w:rFonts w:asciiTheme="minorBidi" w:hAnsiTheme="minorBidi" w:cs="Arial"/>
          <w:b/>
          <w:bCs/>
          <w:rtl/>
        </w:rPr>
        <w:t xml:space="preserve">الري في </w:t>
      </w:r>
      <w:r w:rsidRPr="003B5672">
        <w:rPr>
          <w:rFonts w:asciiTheme="minorBidi" w:hAnsiTheme="minorBidi"/>
          <w:b/>
          <w:bCs/>
        </w:rPr>
        <w:t>EIMA 2024</w:t>
      </w:r>
      <w:r>
        <w:rPr>
          <w:rFonts w:asciiTheme="minorBidi" w:hAnsiTheme="minorBidi" w:hint="cs"/>
          <w:b/>
          <w:bCs/>
          <w:rtl/>
        </w:rPr>
        <w:t xml:space="preserve"> </w:t>
      </w:r>
      <w:r w:rsidRPr="003B5672">
        <w:rPr>
          <w:rFonts w:asciiTheme="minorBidi" w:hAnsiTheme="minorBidi" w:cs="Arial"/>
          <w:b/>
          <w:bCs/>
          <w:rtl/>
        </w:rPr>
        <w:t xml:space="preserve">الشراكة الإستراتيجية بين </w:t>
      </w:r>
      <w:proofErr w:type="spellStart"/>
      <w:r w:rsidRPr="003B5672">
        <w:rPr>
          <w:rFonts w:asciiTheme="minorBidi" w:hAnsiTheme="minorBidi"/>
          <w:b/>
          <w:bCs/>
        </w:rPr>
        <w:t>Farmfront</w:t>
      </w:r>
      <w:proofErr w:type="spellEnd"/>
      <w:r w:rsidRPr="003B5672">
        <w:rPr>
          <w:rFonts w:asciiTheme="minorBidi" w:hAnsiTheme="minorBidi" w:cs="Arial"/>
          <w:b/>
          <w:bCs/>
          <w:rtl/>
        </w:rPr>
        <w:t xml:space="preserve"> و</w:t>
      </w:r>
      <w:proofErr w:type="spellStart"/>
      <w:r w:rsidRPr="003B5672">
        <w:rPr>
          <w:rFonts w:asciiTheme="minorBidi" w:hAnsiTheme="minorBidi"/>
          <w:b/>
          <w:bCs/>
        </w:rPr>
        <w:t>Metzer</w:t>
      </w:r>
      <w:proofErr w:type="spellEnd"/>
      <w:r w:rsidRPr="003B5672">
        <w:rPr>
          <w:rFonts w:asciiTheme="minorBidi" w:hAnsiTheme="minorBidi" w:cs="Arial"/>
          <w:b/>
          <w:bCs/>
          <w:rtl/>
        </w:rPr>
        <w:t xml:space="preserve"> </w:t>
      </w:r>
    </w:p>
    <w:p w14:paraId="5EF9D867" w14:textId="6DB5B64A" w:rsidR="003932CA" w:rsidRPr="00781247" w:rsidRDefault="003B5672" w:rsidP="003B5672">
      <w:pPr>
        <w:bidi/>
        <w:rPr>
          <w:rFonts w:asciiTheme="minorBidi" w:hAnsiTheme="minorBidi" w:cs="Arial"/>
          <w:b/>
          <w:bCs/>
          <w:i/>
          <w:iCs/>
          <w:rtl/>
        </w:rPr>
      </w:pPr>
      <w:r w:rsidRPr="00781247">
        <w:rPr>
          <w:rFonts w:asciiTheme="minorBidi" w:hAnsiTheme="minorBidi" w:cs="Arial"/>
          <w:b/>
          <w:bCs/>
          <w:i/>
          <w:iCs/>
          <w:rtl/>
        </w:rPr>
        <w:t>في يوم افتتاح معرض بولونيا، تم التوقيع على اتفاقية تعاون مهمة بين المصنعين المتخصصين في إنشاء أنظمة الري. وتنص الاتفاقية على مشاركة شبكات التوزيع الخاصة بكل منهما لتقديم مجموعة متكاملة من الحلول التكنولوجية للسوق.</w:t>
      </w:r>
    </w:p>
    <w:p w14:paraId="3B9A8651" w14:textId="77777777" w:rsidR="003B5672" w:rsidRDefault="003B5672" w:rsidP="003B5672">
      <w:pPr>
        <w:bidi/>
        <w:rPr>
          <w:rFonts w:asciiTheme="minorBidi" w:hAnsiTheme="minorBidi" w:cs="Arial"/>
          <w:b/>
          <w:bCs/>
          <w:rtl/>
        </w:rPr>
      </w:pPr>
    </w:p>
    <w:p w14:paraId="425B97B0" w14:textId="60E988F2" w:rsidR="003B5672" w:rsidRPr="003B5672" w:rsidRDefault="003B5672" w:rsidP="003B5672">
      <w:pPr>
        <w:bidi/>
        <w:rPr>
          <w:rFonts w:asciiTheme="minorBidi" w:hAnsiTheme="minorBidi"/>
        </w:rPr>
      </w:pPr>
      <w:r w:rsidRPr="003B5672">
        <w:rPr>
          <w:rFonts w:asciiTheme="minorBidi" w:hAnsiTheme="minorBidi" w:cs="Arial"/>
          <w:rtl/>
        </w:rPr>
        <w:t xml:space="preserve">وقعت مجموعة </w:t>
      </w:r>
      <w:proofErr w:type="spellStart"/>
      <w:r w:rsidRPr="003B5672">
        <w:rPr>
          <w:rFonts w:asciiTheme="minorBidi" w:hAnsiTheme="minorBidi"/>
        </w:rPr>
        <w:t>Farmfront</w:t>
      </w:r>
      <w:proofErr w:type="spellEnd"/>
      <w:r w:rsidRPr="003B5672">
        <w:rPr>
          <w:rFonts w:asciiTheme="minorBidi" w:hAnsiTheme="minorBidi" w:cs="Arial"/>
          <w:rtl/>
        </w:rPr>
        <w:t xml:space="preserve">، التي تجمع بعض الشركات المصنعة الرئيسية للمضخات ذات المحركات والأنظمة المحورية وبكرات الخراطيم، والشركة الإسرائيلية </w:t>
      </w:r>
      <w:proofErr w:type="spellStart"/>
      <w:r w:rsidRPr="003B5672">
        <w:rPr>
          <w:rFonts w:asciiTheme="minorBidi" w:hAnsiTheme="minorBidi"/>
        </w:rPr>
        <w:t>Metzer</w:t>
      </w:r>
      <w:proofErr w:type="spellEnd"/>
      <w:r w:rsidRPr="003B5672">
        <w:rPr>
          <w:rFonts w:asciiTheme="minorBidi" w:hAnsiTheme="minorBidi" w:cs="Arial"/>
          <w:rtl/>
        </w:rPr>
        <w:t xml:space="preserve">، المتخصصة في تطوير التقنيات المتقدمة للري، اليوم اتفاقية تعاون تجاري </w:t>
      </w:r>
      <w:r w:rsidR="00024006" w:rsidRPr="00024006">
        <w:rPr>
          <w:rFonts w:asciiTheme="minorBidi" w:hAnsiTheme="minorBidi" w:cs="Arial"/>
          <w:rtl/>
        </w:rPr>
        <w:t>والتي تجمع خبراتها الصناعية وشبكات التوزيع الخاصة بها، لتقديم مجموعة كاملة من المنتجات</w:t>
      </w:r>
      <w:r w:rsidRPr="003B5672">
        <w:rPr>
          <w:rFonts w:asciiTheme="minorBidi" w:hAnsiTheme="minorBidi" w:cs="Arial"/>
          <w:rtl/>
        </w:rPr>
        <w:t xml:space="preserve">. </w:t>
      </w:r>
      <w:r w:rsidR="00D0648F" w:rsidRPr="00D0648F">
        <w:rPr>
          <w:rFonts w:asciiTheme="minorBidi" w:hAnsiTheme="minorBidi" w:cs="Arial"/>
          <w:rtl/>
        </w:rPr>
        <w:t xml:space="preserve">تم التوقيع على الاتفاقية بين المجموعة الصناعية التي يوجد مقرها في ميلانو والشركة الإسرائيلية - وكلاهما حاضر في معرض </w:t>
      </w:r>
      <w:r w:rsidR="00D0648F" w:rsidRPr="00D0648F">
        <w:rPr>
          <w:rFonts w:asciiTheme="minorBidi" w:hAnsiTheme="minorBidi" w:cs="Arial"/>
        </w:rPr>
        <w:t>EIMA International</w:t>
      </w:r>
      <w:r w:rsidR="00D0648F" w:rsidRPr="00D0648F">
        <w:rPr>
          <w:rFonts w:asciiTheme="minorBidi" w:hAnsiTheme="minorBidi" w:cs="Arial"/>
          <w:rtl/>
        </w:rPr>
        <w:t xml:space="preserve"> في </w:t>
      </w:r>
      <w:r w:rsidR="00D0648F">
        <w:rPr>
          <w:rFonts w:asciiTheme="minorBidi" w:hAnsiTheme="minorBidi" w:cs="Arial" w:hint="cs"/>
          <w:rtl/>
        </w:rPr>
        <w:t>صالون</w:t>
      </w:r>
      <w:r w:rsidR="00D0648F" w:rsidRPr="00D0648F">
        <w:rPr>
          <w:rFonts w:asciiTheme="minorBidi" w:hAnsiTheme="minorBidi" w:cs="Arial"/>
          <w:rtl/>
        </w:rPr>
        <w:t xml:space="preserve"> </w:t>
      </w:r>
      <w:proofErr w:type="spellStart"/>
      <w:r w:rsidR="00D0648F" w:rsidRPr="00D0648F">
        <w:rPr>
          <w:rFonts w:asciiTheme="minorBidi" w:hAnsiTheme="minorBidi" w:cs="Arial"/>
        </w:rPr>
        <w:t>Idrotech</w:t>
      </w:r>
      <w:proofErr w:type="spellEnd"/>
      <w:r w:rsidR="00D0648F" w:rsidRPr="00D0648F">
        <w:rPr>
          <w:rFonts w:asciiTheme="minorBidi" w:hAnsiTheme="minorBidi" w:cs="Arial"/>
          <w:rtl/>
        </w:rPr>
        <w:t xml:space="preserve"> - في اليوم الافتتاحي لمعرض بولونيا، وذلك على وجه التحديد لإبرام شراكة استراتيجية، والتي يعتبرها المصنعون أنفسهم رائدة. «تنص الاتفاقية على أن </w:t>
      </w:r>
      <w:proofErr w:type="spellStart"/>
      <w:r w:rsidR="00D0648F" w:rsidRPr="00D0648F">
        <w:rPr>
          <w:rFonts w:asciiTheme="minorBidi" w:hAnsiTheme="minorBidi" w:cs="Arial"/>
        </w:rPr>
        <w:t>Farmfront</w:t>
      </w:r>
      <w:proofErr w:type="spellEnd"/>
      <w:r w:rsidR="00D0648F" w:rsidRPr="00D0648F">
        <w:rPr>
          <w:rFonts w:asciiTheme="minorBidi" w:hAnsiTheme="minorBidi" w:cs="Arial"/>
          <w:rtl/>
        </w:rPr>
        <w:t xml:space="preserve"> و</w:t>
      </w:r>
      <w:proofErr w:type="spellStart"/>
      <w:r w:rsidR="00D0648F" w:rsidRPr="00D0648F">
        <w:rPr>
          <w:rFonts w:asciiTheme="minorBidi" w:hAnsiTheme="minorBidi" w:cs="Arial"/>
        </w:rPr>
        <w:t>Metzer</w:t>
      </w:r>
      <w:proofErr w:type="spellEnd"/>
      <w:r w:rsidR="00D0648F" w:rsidRPr="00D0648F">
        <w:rPr>
          <w:rFonts w:asciiTheme="minorBidi" w:hAnsiTheme="minorBidi" w:cs="Arial"/>
          <w:rtl/>
        </w:rPr>
        <w:t xml:space="preserve"> ستتشاركان شبكات التوزيع الخاصة بهما لتزويد المشغلين في القطاع بمجموعة كاملة من المنتجات، بدءًا من الأنظمة المحورية وحتى أنظمة التنقيط، والتي - كما قال </w:t>
      </w:r>
      <w:r w:rsidR="00D0648F" w:rsidRPr="00D0648F">
        <w:rPr>
          <w:rFonts w:asciiTheme="minorBidi" w:hAnsiTheme="minorBidi" w:cs="Arial"/>
        </w:rPr>
        <w:t>Daniel Neves</w:t>
      </w:r>
      <w:r w:rsidR="00D0648F" w:rsidRPr="00D0648F">
        <w:rPr>
          <w:rFonts w:asciiTheme="minorBidi" w:hAnsiTheme="minorBidi" w:cs="Arial"/>
          <w:rtl/>
        </w:rPr>
        <w:t xml:space="preserve">، الرئيس التنفيذي لشركة </w:t>
      </w:r>
      <w:proofErr w:type="spellStart"/>
      <w:r w:rsidR="00D0648F" w:rsidRPr="00D0648F">
        <w:rPr>
          <w:rFonts w:asciiTheme="minorBidi" w:hAnsiTheme="minorBidi" w:cs="Arial"/>
        </w:rPr>
        <w:t>Framfront</w:t>
      </w:r>
      <w:proofErr w:type="spellEnd"/>
      <w:r w:rsidR="00D0648F" w:rsidRPr="00D0648F">
        <w:rPr>
          <w:rFonts w:asciiTheme="minorBidi" w:hAnsiTheme="minorBidi" w:cs="Arial"/>
          <w:rtl/>
        </w:rPr>
        <w:t xml:space="preserve"> - يمكنها تلبية جميع احتياجات الزراعة في كل نموذج</w:t>
      </w:r>
      <w:r w:rsidR="00D0648F">
        <w:rPr>
          <w:rFonts w:asciiTheme="minorBidi" w:hAnsiTheme="minorBidi" w:cs="Arial" w:hint="cs"/>
          <w:rtl/>
        </w:rPr>
        <w:t xml:space="preserve"> </w:t>
      </w:r>
      <w:r w:rsidR="00D0648F" w:rsidRPr="00D0648F">
        <w:rPr>
          <w:rFonts w:asciiTheme="minorBidi" w:hAnsiTheme="minorBidi" w:cs="Arial"/>
          <w:rtl/>
        </w:rPr>
        <w:t>للزراعة".</w:t>
      </w:r>
      <w:r w:rsidR="00D0648F">
        <w:rPr>
          <w:rFonts w:asciiTheme="minorBidi" w:hAnsiTheme="minorBidi" w:cs="Arial" w:hint="cs"/>
          <w:rtl/>
        </w:rPr>
        <w:t xml:space="preserve"> </w:t>
      </w:r>
      <w:r w:rsidRPr="003B5672">
        <w:rPr>
          <w:rFonts w:asciiTheme="minorBidi" w:hAnsiTheme="minorBidi" w:cs="Arial"/>
          <w:rtl/>
        </w:rPr>
        <w:t xml:space="preserve">«إنها المرة الأولى في قطاع الري التي تقيم فيها شركة إسرائيلية وأوروبية مثل هذا التعاون التجاري القوي الذي يقدم، مقارنة بمبادرات أخرى من هذا النوع، خصائص جديدة تمامًا. هدفنا - أضاف </w:t>
      </w:r>
      <w:r w:rsidR="00D0648F" w:rsidRPr="00D0648F">
        <w:rPr>
          <w:rFonts w:asciiTheme="minorBidi" w:hAnsiTheme="minorBidi" w:cs="Arial"/>
        </w:rPr>
        <w:t>Israel Cohen</w:t>
      </w:r>
      <w:r w:rsidRPr="003B5672">
        <w:rPr>
          <w:rFonts w:asciiTheme="minorBidi" w:hAnsiTheme="minorBidi" w:cs="Arial"/>
          <w:rtl/>
        </w:rPr>
        <w:t xml:space="preserve">، الرئيس التنفيذي لشركة </w:t>
      </w:r>
      <w:proofErr w:type="spellStart"/>
      <w:r w:rsidRPr="003B5672">
        <w:rPr>
          <w:rFonts w:asciiTheme="minorBidi" w:hAnsiTheme="minorBidi"/>
        </w:rPr>
        <w:t>Metzer</w:t>
      </w:r>
      <w:proofErr w:type="spellEnd"/>
      <w:r w:rsidRPr="003B5672">
        <w:rPr>
          <w:rFonts w:asciiTheme="minorBidi" w:hAnsiTheme="minorBidi" w:cs="Arial"/>
          <w:rtl/>
        </w:rPr>
        <w:t xml:space="preserve"> - هو أن نقترح على العميل الحل التكنولوجي الأكثر ملاءمة من بين تلك المدرجة في "محفظتنا" المشتركة لأنظمة الري، بغض النظر عما إذا كانت تقنية </w:t>
      </w:r>
      <w:proofErr w:type="spellStart"/>
      <w:r w:rsidRPr="003B5672">
        <w:rPr>
          <w:rFonts w:asciiTheme="minorBidi" w:hAnsiTheme="minorBidi"/>
        </w:rPr>
        <w:t>Metzer</w:t>
      </w:r>
      <w:proofErr w:type="spellEnd"/>
      <w:r w:rsidRPr="003B5672">
        <w:rPr>
          <w:rFonts w:asciiTheme="minorBidi" w:hAnsiTheme="minorBidi" w:cs="Arial"/>
          <w:rtl/>
        </w:rPr>
        <w:t xml:space="preserve"> أو </w:t>
      </w:r>
      <w:proofErr w:type="spellStart"/>
      <w:r w:rsidRPr="003B5672">
        <w:rPr>
          <w:rFonts w:asciiTheme="minorBidi" w:hAnsiTheme="minorBidi"/>
        </w:rPr>
        <w:t>Farmfront</w:t>
      </w:r>
      <w:proofErr w:type="spellEnd"/>
      <w:r w:rsidRPr="003B5672">
        <w:rPr>
          <w:rFonts w:asciiTheme="minorBidi" w:hAnsiTheme="minorBidi" w:cs="Arial"/>
          <w:rtl/>
        </w:rPr>
        <w:t>».</w:t>
      </w:r>
    </w:p>
    <w:p w14:paraId="4ED72556" w14:textId="77777777" w:rsidR="003B5672" w:rsidRPr="003B5672" w:rsidRDefault="003B5672" w:rsidP="003B5672">
      <w:pPr>
        <w:bidi/>
        <w:rPr>
          <w:rFonts w:asciiTheme="minorBidi" w:hAnsiTheme="minorBidi"/>
        </w:rPr>
      </w:pPr>
      <w:r w:rsidRPr="003B5672">
        <w:rPr>
          <w:rFonts w:asciiTheme="minorBidi" w:hAnsiTheme="minorBidi" w:cs="Arial"/>
          <w:rtl/>
        </w:rPr>
        <w:t xml:space="preserve">ستسمح الشراكة الموقعة في </w:t>
      </w:r>
      <w:r w:rsidRPr="003B5672">
        <w:rPr>
          <w:rFonts w:asciiTheme="minorBidi" w:hAnsiTheme="minorBidi"/>
        </w:rPr>
        <w:t>EIMA</w:t>
      </w:r>
      <w:r w:rsidRPr="003B5672">
        <w:rPr>
          <w:rFonts w:asciiTheme="minorBidi" w:hAnsiTheme="minorBidi" w:cs="Arial"/>
          <w:rtl/>
        </w:rPr>
        <w:t xml:space="preserve"> للعلامة التجارية الإسرائيلية بتعزيز نفسها في السوق الأوروبية ولمجموعة </w:t>
      </w:r>
      <w:proofErr w:type="spellStart"/>
      <w:r w:rsidRPr="003B5672">
        <w:rPr>
          <w:rFonts w:asciiTheme="minorBidi" w:hAnsiTheme="minorBidi"/>
        </w:rPr>
        <w:t>Farmfront</w:t>
      </w:r>
      <w:proofErr w:type="spellEnd"/>
      <w:r w:rsidRPr="003B5672">
        <w:rPr>
          <w:rFonts w:asciiTheme="minorBidi" w:hAnsiTheme="minorBidi" w:cs="Arial"/>
          <w:rtl/>
        </w:rPr>
        <w:t xml:space="preserve"> بتعزيز نفسها في أمريكا اللاتينية وآسيا الوسطى.</w:t>
      </w:r>
    </w:p>
    <w:p w14:paraId="2EC02B63" w14:textId="77777777" w:rsidR="003B5672" w:rsidRPr="00D0648F" w:rsidRDefault="003B5672" w:rsidP="003B5672">
      <w:pPr>
        <w:bidi/>
        <w:rPr>
          <w:rFonts w:asciiTheme="minorBidi" w:hAnsiTheme="minorBidi"/>
          <w:b/>
          <w:bCs/>
        </w:rPr>
      </w:pPr>
    </w:p>
    <w:p w14:paraId="00D54597" w14:textId="037CB18C" w:rsidR="003B5672" w:rsidRPr="00D0648F" w:rsidRDefault="00781247" w:rsidP="00781247">
      <w:pPr>
        <w:bidi/>
        <w:rPr>
          <w:rFonts w:asciiTheme="minorBidi" w:hAnsiTheme="minorBidi"/>
          <w:b/>
          <w:bCs/>
        </w:rPr>
      </w:pPr>
      <w:r w:rsidRPr="00082FEB">
        <w:rPr>
          <w:rFonts w:asciiTheme="minorBidi" w:hAnsiTheme="minorBidi" w:cs="Arial"/>
          <w:b/>
          <w:bCs/>
          <w:i/>
          <w:iCs/>
          <w:rtl/>
        </w:rPr>
        <w:t xml:space="preserve">بولونيا </w:t>
      </w:r>
      <w:r w:rsidRPr="00082FEB">
        <w:rPr>
          <w:rFonts w:asciiTheme="minorBidi" w:hAnsiTheme="minorBidi" w:cs="Arial"/>
          <w:b/>
          <w:bCs/>
          <w:i/>
          <w:iCs/>
          <w:lang w:val="en-GB"/>
        </w:rPr>
        <w:t>Bologna</w:t>
      </w:r>
      <w:r w:rsidRPr="00082FEB">
        <w:rPr>
          <w:rFonts w:asciiTheme="minorBidi" w:hAnsiTheme="minorBidi" w:cs="Arial"/>
          <w:b/>
          <w:bCs/>
          <w:i/>
          <w:iCs/>
          <w:rtl/>
        </w:rPr>
        <w:t xml:space="preserve">، </w:t>
      </w:r>
      <w:r>
        <w:rPr>
          <w:rFonts w:asciiTheme="minorBidi" w:hAnsiTheme="minorBidi" w:cs="Arial" w:hint="cs"/>
          <w:b/>
          <w:bCs/>
          <w:i/>
          <w:iCs/>
          <w:rtl/>
        </w:rPr>
        <w:t>7</w:t>
      </w:r>
      <w:r w:rsidRPr="00082FEB">
        <w:rPr>
          <w:rFonts w:asciiTheme="minorBidi" w:hAnsiTheme="minorBidi" w:cs="Arial"/>
          <w:b/>
          <w:bCs/>
          <w:i/>
          <w:iCs/>
          <w:rtl/>
        </w:rPr>
        <w:t xml:space="preserve"> نوفمبر 2024</w:t>
      </w:r>
      <w:r>
        <w:rPr>
          <w:rFonts w:asciiTheme="minorBidi" w:hAnsiTheme="minorBidi" w:cs="Arial"/>
          <w:b/>
          <w:bCs/>
          <w:i/>
          <w:iCs/>
        </w:rPr>
        <w:t xml:space="preserve"> </w:t>
      </w:r>
      <w:r>
        <w:rPr>
          <w:rFonts w:asciiTheme="minorBidi" w:hAnsiTheme="minorBidi" w:cs="Arial" w:hint="cs"/>
          <w:b/>
          <w:bCs/>
          <w:i/>
          <w:iCs/>
          <w:rtl/>
          <w:lang w:bidi="ar-SY"/>
        </w:rPr>
        <w:t xml:space="preserve">    </w:t>
      </w:r>
    </w:p>
    <w:sectPr w:rsidR="003B5672" w:rsidRPr="00D0648F"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BD"/>
    <w:rsid w:val="00024006"/>
    <w:rsid w:val="00102BFB"/>
    <w:rsid w:val="003932CA"/>
    <w:rsid w:val="003B5672"/>
    <w:rsid w:val="00781247"/>
    <w:rsid w:val="00894177"/>
    <w:rsid w:val="00AD45D1"/>
    <w:rsid w:val="00C22CEF"/>
    <w:rsid w:val="00D0648F"/>
    <w:rsid w:val="00EF58BD"/>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2114"/>
  <w15:chartTrackingRefBased/>
  <w15:docId w15:val="{8E9C7BC6-9A81-4823-A3A5-45CBDD0A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5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5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58B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58B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58B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58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58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58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58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58B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58B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58B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58B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58B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58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58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58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58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5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58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58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58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58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58BD"/>
    <w:rPr>
      <w:i/>
      <w:iCs/>
      <w:color w:val="404040" w:themeColor="text1" w:themeTint="BF"/>
    </w:rPr>
  </w:style>
  <w:style w:type="paragraph" w:styleId="Paragrafoelenco">
    <w:name w:val="List Paragraph"/>
    <w:basedOn w:val="Normale"/>
    <w:uiPriority w:val="34"/>
    <w:qFormat/>
    <w:rsid w:val="00EF58BD"/>
    <w:pPr>
      <w:ind w:left="720"/>
      <w:contextualSpacing/>
    </w:pPr>
  </w:style>
  <w:style w:type="character" w:styleId="Enfasiintensa">
    <w:name w:val="Intense Emphasis"/>
    <w:basedOn w:val="Carpredefinitoparagrafo"/>
    <w:uiPriority w:val="21"/>
    <w:qFormat/>
    <w:rsid w:val="00EF58BD"/>
    <w:rPr>
      <w:i/>
      <w:iCs/>
      <w:color w:val="2F5496" w:themeColor="accent1" w:themeShade="BF"/>
    </w:rPr>
  </w:style>
  <w:style w:type="paragraph" w:styleId="Citazioneintensa">
    <w:name w:val="Intense Quote"/>
    <w:basedOn w:val="Normale"/>
    <w:next w:val="Normale"/>
    <w:link w:val="CitazioneintensaCarattere"/>
    <w:uiPriority w:val="30"/>
    <w:qFormat/>
    <w:rsid w:val="00EF5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58BD"/>
    <w:rPr>
      <w:i/>
      <w:iCs/>
      <w:color w:val="2F5496" w:themeColor="accent1" w:themeShade="BF"/>
    </w:rPr>
  </w:style>
  <w:style w:type="character" w:styleId="Riferimentointenso">
    <w:name w:val="Intense Reference"/>
    <w:basedOn w:val="Carpredefinitoparagrafo"/>
    <w:uiPriority w:val="32"/>
    <w:qFormat/>
    <w:rsid w:val="00EF5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260</Words>
  <Characters>1488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3</cp:revision>
  <dcterms:created xsi:type="dcterms:W3CDTF">2024-11-07T12:33:00Z</dcterms:created>
  <dcterms:modified xsi:type="dcterms:W3CDTF">2024-11-07T13:44:00Z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2024-11-07T13:11:45Z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0c1c5b79-269c-43db-9d79-fd8b1e01d592</vt:lpwstr>
  </property>
  <property fmtid="{D5CDD505-2E9C-101B-9397-08002B2CF9AE}" pid="8" name="MSIP_Label_defa4170-0d19-0005-0004-bc88714345d2_ContentBits">
    <vt:lpwstr>0</vt:lpwstr>
  </property>
</Properties>
</file>